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Pavimentazione di aree per iniziali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di opere di pavimentazione di finitura di spazi esterni, anche per aree di sosta, che siano contenute entro l'indice di permeabilita', o stabilito dallo strumento urbanistico comunale, ivi compresa la realizzazione di intercapedini interamente interrate e non accessibili, vasche di raccolta delle acque, locali tombati.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